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after="240" w:before="40"/>
        <w:jc w:val="center"/>
      </w:pPr>
      <w:r>
        <w:rPr>
          <w:rFonts w:ascii="Arial" w:hAnsi="Arial" w:eastAsia="Arial"/>
          <w:b/>
          <w:color w:val="D20000"/>
          <w:sz w:val="38"/>
        </w:rPr>
        <w:t>Bando e Regolamento “GiocaMath 2027”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1 - Finalità della competizione</w:t>
      </w:r>
    </w:p>
    <w:p>
      <w:pPr>
        <w:keepNext w:val="0"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1.  </w:t>
      </w:r>
      <w:r>
        <w:rPr>
          <w:rFonts w:ascii="Arial" w:hAnsi="Arial" w:eastAsia="Arial"/>
          <w:sz w:val="21"/>
        </w:rPr>
        <w:t xml:space="preserve">La competizione nazionale </w:t>
      </w:r>
      <w:r>
        <w:rPr>
          <w:rFonts w:ascii="Arial" w:hAnsi="Arial" w:eastAsia="Arial"/>
          <w:b/>
          <w:sz w:val="21"/>
        </w:rPr>
        <w:t>GiocaMath</w:t>
      </w:r>
      <w:r>
        <w:rPr>
          <w:rFonts w:ascii="Arial" w:hAnsi="Arial" w:eastAsia="Arial"/>
          <w:sz w:val="21"/>
        </w:rPr>
        <w:t xml:space="preserve"> ha l’obiettivo di stimolare negli studenti la flessibilità mentale, il pensiero logico-critico e la capacità di problem solving attraverso enigmi, giochi logici, indagini e sfide creative. Il progetto intende promuovere strategie didattiche innovative di calcolo e apprendimento, favorendo un approccio ludico, collaborativo e motivante alla matematica.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2 – Destinatari e Categorie di Gara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>La competizione è aperta a tutti gli Istituti scolastici del territorio nazionale ed è distinta in due categorie:</w:t>
      </w:r>
    </w:p>
    <w:p>
      <w:pPr>
        <w:keepNext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Categoria Primaria:</w:t>
      </w:r>
      <w:r>
        <w:rPr>
          <w:rFonts w:ascii="Arial" w:hAnsi="Arial" w:eastAsia="Arial"/>
          <w:sz w:val="21"/>
        </w:rPr>
        <w:t xml:space="preserve"> alunne e alunni delle classi </w:t>
      </w:r>
      <w:r>
        <w:rPr>
          <w:rFonts w:ascii="Arial" w:hAnsi="Arial" w:eastAsia="Arial"/>
          <w:b/>
          <w:i w:val="0"/>
          <w:sz w:val="21"/>
        </w:rPr>
        <w:t>QUARTE</w:t>
      </w:r>
      <w:r>
        <w:rPr>
          <w:rFonts w:ascii="Arial" w:hAnsi="Arial" w:eastAsia="Arial"/>
          <w:sz w:val="21"/>
        </w:rPr>
        <w:t xml:space="preserve"> della scuola primaria;</w:t>
      </w:r>
    </w:p>
    <w:p>
      <w:pPr>
        <w:keepNext w:val="0"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Categoria Secondaria:</w:t>
      </w:r>
      <w:r>
        <w:rPr>
          <w:rFonts w:ascii="Arial" w:hAnsi="Arial" w:eastAsia="Arial"/>
          <w:sz w:val="21"/>
        </w:rPr>
        <w:t xml:space="preserve"> studentesse e studenti delle classi </w:t>
      </w:r>
      <w:r>
        <w:rPr>
          <w:rFonts w:ascii="Arial" w:hAnsi="Arial" w:eastAsia="Arial"/>
          <w:b/>
          <w:i w:val="0"/>
          <w:sz w:val="21"/>
        </w:rPr>
        <w:t>PRIME</w:t>
      </w:r>
      <w:r>
        <w:rPr>
          <w:rFonts w:ascii="Arial" w:hAnsi="Arial" w:eastAsia="Arial"/>
          <w:sz w:val="21"/>
        </w:rPr>
        <w:t xml:space="preserve"> della scuola secondaria di primo grado.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3 – Fasi della competizione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1.  </w:t>
      </w:r>
      <w:r>
        <w:rPr>
          <w:rFonts w:ascii="Arial" w:hAnsi="Arial" w:eastAsia="Arial"/>
          <w:b/>
          <w:sz w:val="21"/>
        </w:rPr>
        <w:t>Prima fase: Selezioni d’Istituto (16 Febbraio 2027)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>Il docente referente di ciascun istituto potrà accedere alla piattaforma per scaricare i testi della gara e successivamente i correttori predisposti dal Comitato Tecnico-Scientifico. Al termine delle prove, provvederà ad effettuare le correzioni (istituendo, se lo ritiene opportuno, anche una commissione di supporto) e compilerà la graduatoria interna di merito secondo i criteri dell'Art. 4 per individuare i candidati da ammettere alla fase successiva.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2.  </w:t>
      </w:r>
      <w:r>
        <w:rPr>
          <w:rFonts w:ascii="Arial" w:hAnsi="Arial" w:eastAsia="Arial"/>
          <w:b/>
          <w:sz w:val="21"/>
        </w:rPr>
        <w:t>Seconda fase: Selezioni Online (16 Marzo 2027)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 xml:space="preserve">Ciascun istituto (o sede autonoma regolarmente iscritta) potrà registrare alla fase online </w:t>
      </w:r>
      <w:r>
        <w:rPr>
          <w:rFonts w:ascii="Arial" w:hAnsi="Arial" w:eastAsia="Arial"/>
          <w:b/>
          <w:i w:val="0"/>
          <w:sz w:val="21"/>
        </w:rPr>
        <w:t>fino a un massimo di 10 studenti per ciascuna categoria di gara</w:t>
      </w:r>
      <w:r>
        <w:rPr>
          <w:rFonts w:ascii="Arial" w:hAnsi="Arial" w:eastAsia="Arial"/>
          <w:sz w:val="21"/>
        </w:rPr>
        <w:t xml:space="preserve"> (fino a 10 per la Primaria e fino a 10 per la Secondaria) secondo i criteri generali di merito dell’Art. 4.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</w:r>
      <w:r>
        <w:rPr>
          <w:rFonts w:ascii="Arial" w:hAnsi="Arial" w:eastAsia="Arial"/>
          <w:b/>
          <w:i w:val="0"/>
          <w:sz w:val="21"/>
        </w:rPr>
      </w:r>
      <w:r>
        <w:rPr>
          <w:rFonts w:ascii="Arial" w:hAnsi="Arial" w:eastAsia="Arial"/>
          <w:sz w:val="21"/>
        </w:rPr>
      </w:r>
      <w:r>
        <w:rPr>
          <w:rFonts w:ascii="Arial" w:hAnsi="Arial" w:eastAsia="Arial"/>
          <w:sz w:val="21"/>
        </w:rPr>
        <w:t xml:space="preserve">Al termine delle prove online, i primi </w:t>
      </w:r>
      <w:r>
        <w:rPr>
          <w:rFonts w:ascii="Arial" w:hAnsi="Arial" w:eastAsia="Arial"/>
          <w:b/>
          <w:sz w:val="21"/>
        </w:rPr>
        <w:t>150 classificati di ciascuna categoria</w:t>
      </w:r>
      <w:r>
        <w:rPr>
          <w:rFonts w:ascii="Arial" w:hAnsi="Arial" w:eastAsia="Arial"/>
          <w:sz w:val="21"/>
        </w:rPr>
        <w:t>, per un totale di 300 finalisti, accederanno alla Finale Nazionale in presenza.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3.  </w:t>
      </w:r>
      <w:r>
        <w:rPr>
          <w:rFonts w:ascii="Arial" w:hAnsi="Arial" w:eastAsia="Arial"/>
          <w:b/>
          <w:sz w:val="21"/>
        </w:rPr>
        <w:t>Terza fase: Finale Nazionale (Sabato 15 maggio 2027 – Salerno)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 xml:space="preserve">La Finale Nazionale si disputerà in presenza, in forma cartacea, a Salerno presso l’Istituto Comprensivo "Medaglie d'Oro" (via Paolo Vocca, Salerno). L’inizio delle prove è fissato per le ore </w:t>
      </w:r>
      <w:r>
        <w:rPr>
          <w:rFonts w:ascii="Arial" w:hAnsi="Arial" w:eastAsia="Arial"/>
          <w:b/>
          <w:i w:val="0"/>
          <w:sz w:val="21"/>
        </w:rPr>
        <w:t>10:30</w:t>
      </w:r>
      <w:r>
        <w:rPr>
          <w:rFonts w:ascii="Arial" w:hAnsi="Arial" w:eastAsia="Arial"/>
          <w:sz w:val="21"/>
        </w:rPr>
        <w:t>.</w:t>
      </w:r>
    </w:p>
    <w:p>
      <w:pPr>
        <w:keepNext w:val="0"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4.  </w:t>
      </w:r>
      <w:r>
        <w:rPr>
          <w:rFonts w:ascii="Arial" w:hAnsi="Arial" w:eastAsia="Arial"/>
          <w:b/>
          <w:sz w:val="21"/>
        </w:rPr>
        <w:t>La durata delle prove di ogni fase sarà di 60 minuti.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4 – Criteri generali di merito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>Per tutte le fasi della competizione, la graduatoria generale di merito viene determinata in base all'ordine progressivo dei seguenti criteri: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1.  </w:t>
      </w:r>
      <w:r>
        <w:rPr>
          <w:rFonts w:ascii="Arial" w:hAnsi="Arial" w:eastAsia="Arial"/>
          <w:b/>
          <w:sz w:val="21"/>
        </w:rPr>
        <w:t>Punteggio conseguito</w:t>
      </w:r>
      <w:r>
        <w:rPr>
          <w:rFonts w:ascii="Arial" w:hAnsi="Arial" w:eastAsia="Arial"/>
          <w:sz w:val="21"/>
        </w:rPr>
        <w:t xml:space="preserve"> (in ordine decrescente);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2.  </w:t>
      </w:r>
      <w:r>
        <w:rPr>
          <w:rFonts w:ascii="Arial" w:hAnsi="Arial" w:eastAsia="Arial"/>
          <w:b/>
          <w:sz w:val="21"/>
        </w:rPr>
        <w:t>Tempo di consegna</w:t>
      </w:r>
      <w:r>
        <w:rPr>
          <w:rFonts w:ascii="Arial" w:hAnsi="Arial" w:eastAsia="Arial"/>
          <w:sz w:val="21"/>
        </w:rPr>
        <w:t xml:space="preserve"> della prova (a parità di punteggio, precede chi ha impiegato minor tempo);</w:t>
      </w:r>
    </w:p>
    <w:p>
      <w:pPr>
        <w:keepNext w:val="0"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3.  </w:t>
      </w:r>
      <w:r>
        <w:rPr>
          <w:rFonts w:ascii="Arial" w:hAnsi="Arial" w:eastAsia="Arial"/>
          <w:b/>
          <w:sz w:val="21"/>
        </w:rPr>
        <w:t>Minore età anagrafica</w:t>
      </w:r>
      <w:r>
        <w:rPr>
          <w:rFonts w:ascii="Arial" w:hAnsi="Arial" w:eastAsia="Arial"/>
          <w:sz w:val="21"/>
        </w:rPr>
        <w:t xml:space="preserve"> (a parità di punteggio e tempo, precede il concorrente più giovane di età).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5 – Accoglienza e Kit di gara per la Finale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1.  </w:t>
      </w:r>
      <w:r>
        <w:rPr>
          <w:rFonts w:ascii="Arial" w:hAnsi="Arial" w:eastAsia="Arial"/>
          <w:sz w:val="21"/>
        </w:rPr>
        <w:t>Ciascun finalista partecipante riceverà all'accoglienza il kit ufficiale dell'evento (cappellino, zainetto, righello, ecc.).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2.  </w:t>
      </w:r>
      <w:r>
        <w:rPr>
          <w:rFonts w:ascii="Arial" w:hAnsi="Arial" w:eastAsia="Arial"/>
          <w:sz w:val="21"/>
        </w:rPr>
        <w:t>La consegna del kit avverrà all'interno delle aule di gara dopo l'appello da parte degli assistenti.</w:t>
      </w:r>
    </w:p>
    <w:p>
      <w:pPr>
        <w:keepNext w:val="0"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3.  </w:t>
      </w:r>
      <w:r>
        <w:rPr>
          <w:rFonts w:ascii="Arial" w:hAnsi="Arial" w:eastAsia="Arial"/>
          <w:sz w:val="21"/>
        </w:rPr>
        <w:t xml:space="preserve">Per garantire serenità, concentrazione e la massima regolarità della gara, </w:t>
      </w:r>
      <w:r>
        <w:rPr>
          <w:rFonts w:ascii="Arial" w:hAnsi="Arial" w:eastAsia="Arial"/>
          <w:b/>
          <w:sz w:val="21"/>
        </w:rPr>
        <w:t>l’accesso all'istituto e ai locali dove si svolgerà la finale è riservato esclusivamente ai concorrenti e al personale autorizzato.</w:t>
      </w:r>
      <w:r>
        <w:rPr>
          <w:rFonts w:ascii="Arial" w:hAnsi="Arial" w:eastAsia="Arial"/>
          <w:sz w:val="21"/>
        </w:rPr>
        <w:t xml:space="preserve"> I genitori e i docenti accompagnatori non potranno accedere ai locali di gara durante lo svolgimento delle prove.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6 – Logistica e comunicazioni</w:t>
      </w:r>
    </w:p>
    <w:p>
      <w:pPr>
        <w:keepNext w:val="0"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 xml:space="preserve">L'assegnazione dei concorrenti nelle aule (in ordine alfabetico) e tutte le indicazioni logistiche e organizzative relative alla finale saranno tempestivamente pubblicate sui siti ufficiali: </w:t>
      </w:r>
      <w:r>
        <w:rPr>
          <w:rFonts w:ascii="Arial" w:hAnsi="Arial" w:eastAsia="Arial"/>
          <w:b/>
          <w:i w:val="0"/>
          <w:sz w:val="21"/>
        </w:rPr>
        <w:t>www.giocamath.it</w:t>
      </w:r>
      <w:r>
        <w:rPr>
          <w:rFonts w:ascii="Arial" w:hAnsi="Arial" w:eastAsia="Arial"/>
          <w:sz w:val="21"/>
        </w:rPr>
        <w:t xml:space="preserve"> e </w:t>
      </w:r>
      <w:r>
        <w:rPr>
          <w:rFonts w:ascii="Arial" w:hAnsi="Arial" w:eastAsia="Arial"/>
          <w:b/>
          <w:i w:val="0"/>
          <w:sz w:val="21"/>
        </w:rPr>
        <w:t>www.infordida.it</w:t>
      </w:r>
      <w:r>
        <w:rPr>
          <w:rFonts w:ascii="Arial" w:hAnsi="Arial" w:eastAsia="Arial"/>
          <w:sz w:val="21"/>
        </w:rPr>
        <w:t>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7 – Premi e riconoscimenti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>Per ciascuna delle due categorie (Primaria e Secondaria di primo grado), sono previsti i seguenti premi:</w:t>
      </w:r>
    </w:p>
    <w:p>
      <w:pPr>
        <w:keepNext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1°, 2° e 3° classificato nazionale:</w:t>
      </w:r>
      <w:r>
        <w:rPr>
          <w:rFonts w:ascii="Arial" w:hAnsi="Arial" w:eastAsia="Arial"/>
          <w:sz w:val="21"/>
        </w:rPr>
        <w:t xml:space="preserve"> Coppe;</w:t>
      </w:r>
    </w:p>
    <w:p>
      <w:pPr>
        <w:keepNext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Dal 4° al 40° classificato nazionale:</w:t>
      </w:r>
      <w:r>
        <w:rPr>
          <w:rFonts w:ascii="Arial" w:hAnsi="Arial" w:eastAsia="Arial"/>
          <w:sz w:val="21"/>
        </w:rPr>
        <w:t xml:space="preserve"> Medaglie e premi;</w:t>
      </w:r>
    </w:p>
    <w:p>
      <w:pPr>
        <w:keepNext w:val="0"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Tutti i concorrenti partecipanti alla finale:</w:t>
      </w:r>
      <w:r>
        <w:rPr>
          <w:rFonts w:ascii="Arial" w:hAnsi="Arial" w:eastAsia="Arial"/>
          <w:sz w:val="21"/>
        </w:rPr>
        <w:t xml:space="preserve"> riceveranno attestato nominativo.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8 – Cerimonia di premiazione</w:t>
      </w:r>
    </w:p>
    <w:p>
      <w:pPr>
        <w:keepNext w:val="0"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 xml:space="preserve">La cerimonia conclusiva di premiazione si terrà il giorno stesso della gara, </w:t>
      </w:r>
      <w:r>
        <w:rPr>
          <w:rFonts w:ascii="Arial" w:hAnsi="Arial" w:eastAsia="Arial"/>
          <w:b/>
          <w:i w:val="0"/>
          <w:sz w:val="21"/>
        </w:rPr>
        <w:t>Sabato 15 maggio 2027 alle ore 16:00 per le scuole primarie e alle ore 17:30 per le scuole secondarie di primo grado</w:t>
      </w:r>
      <w:r>
        <w:rPr>
          <w:rFonts w:ascii="Arial" w:hAnsi="Arial" w:eastAsia="Arial"/>
          <w:sz w:val="21"/>
        </w:rPr>
        <w:t xml:space="preserve">, presso il prestigioso </w:t>
      </w:r>
      <w:r>
        <w:rPr>
          <w:rFonts w:ascii="Arial" w:hAnsi="Arial" w:eastAsia="Arial"/>
          <w:b/>
          <w:i w:val="0"/>
          <w:sz w:val="21"/>
        </w:rPr>
        <w:t>Teatro Augusteo di Salerno</w:t>
      </w:r>
      <w:r>
        <w:rPr>
          <w:rFonts w:ascii="Arial" w:hAnsi="Arial" w:eastAsia="Arial"/>
          <w:sz w:val="21"/>
        </w:rPr>
        <w:t>, alla presenza delle istituzioni scolastiche e civili.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9 – Segreteria organizzativa e contatti</w:t>
      </w:r>
    </w:p>
    <w:p>
      <w:pPr>
        <w:keepNext/>
        <w:keepLines/>
        <w:widowControl/>
        <w:spacing w:after="80" w:line="259" w:lineRule="auto" w:before="0"/>
        <w:ind w:left="0" w:firstLine="0"/>
        <w:jc w:val="both"/>
      </w:pPr>
      <w:r>
        <w:rPr>
          <w:rFonts w:ascii="Arial" w:hAnsi="Arial" w:eastAsia="Arial"/>
          <w:sz w:val="21"/>
        </w:rPr>
        <w:t>Per informazioni, chiarimenti sul regolamento e supporto alle iscrizioni:</w:t>
      </w:r>
    </w:p>
    <w:p>
      <w:pPr>
        <w:keepNext/>
        <w:keepLines/>
        <w:widowControl/>
        <w:spacing w:after="60" w:line="259" w:lineRule="auto" w:before="0"/>
        <w:ind w:left="0" w:firstLine="0"/>
        <w:jc w:val="left"/>
      </w:pPr>
      <w:r>
        <w:rPr>
          <w:rFonts w:ascii="Arial" w:hAnsi="Arial" w:eastAsia="Arial"/>
          <w:b/>
          <w:sz w:val="21"/>
        </w:rPr>
        <w:t xml:space="preserve">Siti web di riferimento: </w:t>
      </w:r>
      <w:r>
        <w:rPr>
          <w:rFonts w:ascii="Arial" w:hAnsi="Arial" w:eastAsia="Arial"/>
          <w:sz w:val="21"/>
        </w:rPr>
        <w:t>www.giocamath.it – www.infordida.it</w:t>
      </w:r>
    </w:p>
    <w:p>
      <w:pPr>
        <w:keepNext w:val="0"/>
        <w:keepLines/>
        <w:widowControl/>
        <w:spacing w:after="80" w:line="259" w:lineRule="auto" w:before="0"/>
        <w:ind w:left="0" w:firstLine="0"/>
        <w:jc w:val="left"/>
      </w:pPr>
      <w:r>
        <w:rPr>
          <w:rFonts w:ascii="Arial" w:hAnsi="Arial" w:eastAsia="Arial"/>
          <w:b/>
          <w:sz w:val="21"/>
        </w:rPr>
        <w:t xml:space="preserve">E-mail segreteria organizzativa: </w:t>
      </w:r>
      <w:r>
        <w:rPr>
          <w:rFonts w:ascii="Arial" w:hAnsi="Arial" w:eastAsia="Arial"/>
          <w:sz w:val="21"/>
        </w:rPr>
        <w:t>segreteria@giocamath.it</w:t>
      </w:r>
    </w:p>
    <w:p>
      <w:pPr>
        <w:keepNext/>
        <w:keepLines/>
        <w:widowControl/>
        <w:spacing w:before="160" w:after="80"/>
        <w:jc w:val="left"/>
      </w:pPr>
      <w:r>
        <w:rPr>
          <w:rFonts w:ascii="Arial" w:hAnsi="Arial" w:eastAsia="Arial"/>
          <w:b/>
          <w:color w:val="005C9D"/>
          <w:sz w:val="24"/>
        </w:rPr>
        <w:t>Art. 10 – Quota e modalità d’iscrizione (Istituti accorpati e plessi)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1.  </w:t>
      </w:r>
      <w:r>
        <w:rPr>
          <w:rFonts w:ascii="Arial" w:hAnsi="Arial" w:eastAsia="Arial"/>
          <w:sz w:val="21"/>
        </w:rPr>
        <w:t xml:space="preserve">La quota di partecipazione è fissata in </w:t>
      </w:r>
      <w:r>
        <w:rPr>
          <w:rFonts w:ascii="Arial" w:hAnsi="Arial" w:eastAsia="Arial"/>
          <w:b/>
          <w:sz w:val="21"/>
        </w:rPr>
        <w:t>€ 50,00 + IVA al 22%</w:t>
      </w:r>
      <w:r>
        <w:rPr>
          <w:rFonts w:ascii="Arial" w:hAnsi="Arial" w:eastAsia="Arial"/>
          <w:sz w:val="21"/>
        </w:rPr>
        <w:t xml:space="preserve"> per ciascun istituto scolastico partecipante e comprende l'iscrizione a entrambe le categorie di gara (Primaria e Secondaria di primo grado).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2.  </w:t>
      </w:r>
      <w:r>
        <w:rPr>
          <w:rFonts w:ascii="Arial" w:hAnsi="Arial" w:eastAsia="Arial"/>
          <w:sz w:val="21"/>
        </w:rPr>
        <w:t>Ulteriori dettagli in merito alla fatturazione sono indicati nel modulo di partecipazione.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3.  </w:t>
      </w:r>
      <w:r>
        <w:rPr>
          <w:rFonts w:ascii="Arial" w:hAnsi="Arial" w:eastAsia="Arial"/>
          <w:sz w:val="21"/>
        </w:rPr>
        <w:t>Ai fini dell’emissione della fattura elettronica, l’Istituto dovrà comunicare: denominazione, codice fiscale, indirizzo, Codice Univoco Ufficio (IPA), PEC, indicazione dell’assoggettamento allo Split Payment ed eventuale CIG. Il pagamento dovrà essere effettuato successivamente all’emissione della fattura elettronica, mediante bonifico bancario intestato a NESSUNO E CENTOMILA - P. IVA 06446340652 - IBAN IT07D0878476170010000059925. Causale: “Partecipazione a GiocaMath 2027 - [Denominazione scuola]”.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4.  </w:t>
      </w:r>
      <w:r>
        <w:rPr>
          <w:rFonts w:ascii="Arial" w:hAnsi="Arial" w:eastAsia="Arial"/>
          <w:b/>
          <w:sz w:val="21"/>
        </w:rPr>
        <w:t>Le iscrizioni dovranno essere effettuate entro martedì 2 febbraio 2027.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5.  </w:t>
      </w:r>
      <w:r>
        <w:rPr>
          <w:rFonts w:ascii="Arial" w:hAnsi="Arial" w:eastAsia="Arial"/>
          <w:sz w:val="21"/>
        </w:rPr>
        <w:t xml:space="preserve">Per gli istituti comprensivi nati da </w:t>
      </w:r>
      <w:r>
        <w:rPr>
          <w:rFonts w:ascii="Arial" w:hAnsi="Arial" w:eastAsia="Arial"/>
          <w:b/>
          <w:sz w:val="21"/>
        </w:rPr>
        <w:t>accorpamenti o fusioni di più scuole/plessi</w:t>
      </w:r>
      <w:r>
        <w:rPr>
          <w:rFonts w:ascii="Arial" w:hAnsi="Arial" w:eastAsia="Arial"/>
          <w:sz w:val="21"/>
        </w:rPr>
        <w:t>, l'Istituto potrà scegliere se effettuare un’unica iscrizione cumulativa oppure iscrizioni distinte per ciascun istituto accorpato (o sede staccata), consentendo a ciascuno di essi di gareggiare come entità autonoma e di qualificare la propria delegazione completa alla fase successiva.</w:t>
      </w:r>
    </w:p>
    <w:p>
      <w:pPr>
        <w:keepNext/>
        <w:keepLines/>
        <w:widowControl/>
        <w:spacing w:after="80" w:line="259" w:lineRule="auto" w:before="0"/>
        <w:ind w:left="312" w:hanging="227"/>
        <w:jc w:val="both"/>
      </w:pPr>
      <w:r>
        <w:rPr>
          <w:rFonts w:ascii="Arial" w:hAnsi="Arial" w:eastAsia="Arial"/>
          <w:sz w:val="21"/>
        </w:rPr>
        <w:t xml:space="preserve">6.  </w:t>
      </w:r>
      <w:r>
        <w:rPr>
          <w:rFonts w:ascii="Arial" w:hAnsi="Arial" w:eastAsia="Arial"/>
          <w:sz w:val="21"/>
        </w:rPr>
        <w:t>La quota d’iscrizione comprende:</w:t>
      </w:r>
    </w:p>
    <w:p>
      <w:pPr>
        <w:keepNext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N. 1 copia cartacea</w:t>
      </w:r>
      <w:r>
        <w:rPr>
          <w:rFonts w:ascii="Arial" w:hAnsi="Arial" w:eastAsia="Arial"/>
          <w:sz w:val="21"/>
        </w:rPr>
        <w:t xml:space="preserve"> del volume </w:t>
      </w:r>
      <w:r>
        <w:rPr>
          <w:rFonts w:ascii="Arial" w:hAnsi="Arial" w:eastAsia="Arial"/>
          <w:b w:val="0"/>
          <w:i/>
          <w:sz w:val="21"/>
        </w:rPr>
        <w:t>"Problemi – dalla comprensione del testo alla soluzione"</w:t>
      </w:r>
      <w:r>
        <w:rPr>
          <w:rFonts w:ascii="Arial" w:hAnsi="Arial" w:eastAsia="Arial"/>
          <w:sz w:val="21"/>
        </w:rPr>
        <w:t>, a cura del Prof. Michele Baldi(riservata ai nuovi istituti iscritti);</w:t>
      </w:r>
    </w:p>
    <w:p>
      <w:pPr>
        <w:keepNext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N. 2 copie digitali</w:t>
      </w:r>
      <w:r>
        <w:rPr>
          <w:rFonts w:ascii="Arial" w:hAnsi="Arial" w:eastAsia="Arial"/>
          <w:sz w:val="21"/>
        </w:rPr>
        <w:t xml:space="preserve"> dei volumi didattici sul calcolo veloce e creativo con la matematica vedica (riservate ai nuovi istituti iscritti);</w:t>
      </w:r>
    </w:p>
    <w:p>
      <w:pPr>
        <w:keepNext w:val="0"/>
        <w:keepLines/>
        <w:widowControl/>
        <w:spacing w:after="50" w:line="259" w:lineRule="auto" w:before="0"/>
        <w:ind w:left="340" w:hanging="142"/>
        <w:jc w:val="both"/>
      </w:pPr>
      <w:r>
        <w:rPr>
          <w:rFonts w:ascii="Arial" w:hAnsi="Arial" w:eastAsia="Arial"/>
          <w:b/>
          <w:sz w:val="21"/>
        </w:rPr>
        <w:t xml:space="preserve">• </w:t>
      </w:r>
      <w:r>
        <w:rPr>
          <w:rFonts w:ascii="Arial" w:hAnsi="Arial" w:eastAsia="Arial"/>
          <w:b/>
          <w:i w:val="0"/>
          <w:sz w:val="21"/>
        </w:rPr>
        <w:t>Attestato ufficiale di partecipazione al progetto GiocaMath 2027</w:t>
      </w:r>
      <w:r>
        <w:rPr>
          <w:rFonts w:ascii="Arial" w:hAnsi="Arial" w:eastAsia="Arial"/>
          <w:sz w:val="21"/>
        </w:rPr>
        <w:t xml:space="preserve"> per l'Istituto Scolastico.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61" w:right="1134" w:bottom="1020" w:left="1134" w:header="198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120000" cy="5137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iocamath_header_logh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513768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e Regolamento GiocaMath 2027</dc:title>
  <dc:subject>Regolamento GiocaMath 2027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